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31" w:rsidRPr="009E348A" w:rsidRDefault="00155631" w:rsidP="00155631">
      <w:pPr>
        <w:pStyle w:val="Heading1"/>
        <w:spacing w:before="0" w:after="120" w:line="360" w:lineRule="auto"/>
        <w:jc w:val="center"/>
        <w:rPr>
          <w:sz w:val="36"/>
          <w:szCs w:val="36"/>
        </w:rPr>
      </w:pPr>
      <w:r w:rsidRPr="009E348A">
        <w:rPr>
          <w:rFonts w:hint="eastAsia"/>
          <w:sz w:val="36"/>
          <w:szCs w:val="36"/>
        </w:rPr>
        <w:t>Author</w:t>
      </w:r>
      <w:r w:rsidR="007E1A15">
        <w:rPr>
          <w:sz w:val="36"/>
          <w:szCs w:val="36"/>
        </w:rPr>
        <w:t>’</w:t>
      </w:r>
      <w:r w:rsidRPr="009E348A">
        <w:rPr>
          <w:rFonts w:hint="eastAsia"/>
          <w:sz w:val="36"/>
          <w:szCs w:val="36"/>
        </w:rPr>
        <w:t>s Response to the Review Comments</w:t>
      </w:r>
    </w:p>
    <w:p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i/>
          <w:sz w:val="24"/>
        </w:rPr>
      </w:pPr>
    </w:p>
    <w:p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sz w:val="24"/>
        </w:rPr>
      </w:pPr>
      <w:r w:rsidRPr="00155631">
        <w:rPr>
          <w:b/>
          <w:i/>
          <w:sz w:val="24"/>
        </w:rPr>
        <w:t>Journal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  <w:t>Jurnal Elektronika dan Telekomunikasi</w:t>
      </w:r>
      <w:r w:rsidRPr="00155631">
        <w:rPr>
          <w:b/>
          <w:sz w:val="24"/>
        </w:rPr>
        <w:tab/>
      </w:r>
    </w:p>
    <w:p w:rsidR="00155631" w:rsidRPr="00F362A6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sz w:val="24"/>
        </w:rPr>
      </w:pPr>
      <w:r w:rsidRPr="00155631">
        <w:rPr>
          <w:rFonts w:hint="eastAsia"/>
          <w:b/>
          <w:i/>
          <w:sz w:val="24"/>
        </w:rPr>
        <w:t>Title of Paper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</w:r>
      <w:r w:rsidR="00EC2DC1">
        <w:rPr>
          <w:b/>
          <w:sz w:val="24"/>
        </w:rPr>
        <w:t>Effect of Geometrical Structure to the Performance of Monolithic Dye-Sensitized Solar Cells</w:t>
      </w:r>
    </w:p>
    <w:p w:rsidR="00C41A81" w:rsidRPr="00F362A6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sz w:val="24"/>
        </w:rPr>
      </w:pPr>
      <w:r w:rsidRPr="00155631">
        <w:rPr>
          <w:rFonts w:hint="eastAsia"/>
          <w:b/>
          <w:i/>
          <w:sz w:val="24"/>
        </w:rPr>
        <w:t>Authors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 xml:space="preserve"> </w:t>
      </w:r>
      <w:r w:rsidRPr="00155631">
        <w:rPr>
          <w:b/>
          <w:sz w:val="24"/>
        </w:rPr>
        <w:tab/>
      </w:r>
      <w:r w:rsidR="00EC2DC1">
        <w:rPr>
          <w:b/>
          <w:sz w:val="24"/>
        </w:rPr>
        <w:t>Bayu Aditya Nugraha, Shobih, Jojo Hidayat, Dahlang Tahir</w:t>
      </w:r>
    </w:p>
    <w:p w:rsidR="00155631" w:rsidRDefault="00155631" w:rsidP="00155631">
      <w:pPr>
        <w:spacing w:line="360" w:lineRule="auto"/>
        <w:ind w:left="284" w:hanging="284"/>
        <w:rPr>
          <w:sz w:val="24"/>
        </w:rPr>
      </w:pPr>
    </w:p>
    <w:p w:rsidR="00155631" w:rsidRDefault="00155631" w:rsidP="0015563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We </w:t>
      </w:r>
      <w:r w:rsidRPr="007B555D">
        <w:rPr>
          <w:sz w:val="24"/>
        </w:rPr>
        <w:t xml:space="preserve">appreciate the </w:t>
      </w:r>
      <w:r>
        <w:rPr>
          <w:rFonts w:hint="eastAsia"/>
          <w:sz w:val="24"/>
        </w:rPr>
        <w:t xml:space="preserve">time and efforts </w:t>
      </w:r>
      <w:r>
        <w:rPr>
          <w:sz w:val="24"/>
        </w:rPr>
        <w:t>by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the </w:t>
      </w:r>
      <w:r>
        <w:rPr>
          <w:rFonts w:hint="eastAsia"/>
          <w:sz w:val="24"/>
        </w:rPr>
        <w:t xml:space="preserve">editor </w:t>
      </w:r>
      <w:r>
        <w:rPr>
          <w:sz w:val="24"/>
        </w:rPr>
        <w:t xml:space="preserve">and referees </w:t>
      </w:r>
      <w:r>
        <w:rPr>
          <w:rFonts w:hint="eastAsia"/>
          <w:sz w:val="24"/>
        </w:rPr>
        <w:t xml:space="preserve">in </w:t>
      </w:r>
      <w:r>
        <w:rPr>
          <w:sz w:val="24"/>
        </w:rPr>
        <w:t>reviewing</w:t>
      </w:r>
      <w:r>
        <w:rPr>
          <w:rFonts w:hint="eastAsia"/>
          <w:sz w:val="24"/>
        </w:rPr>
        <w:t xml:space="preserve"> </w:t>
      </w:r>
      <w:r>
        <w:rPr>
          <w:sz w:val="24"/>
        </w:rPr>
        <w:t>this manuscript</w:t>
      </w:r>
      <w:r>
        <w:rPr>
          <w:rFonts w:hint="eastAsia"/>
          <w:sz w:val="24"/>
        </w:rPr>
        <w:t xml:space="preserve">. We have </w:t>
      </w:r>
      <w:r>
        <w:rPr>
          <w:sz w:val="24"/>
        </w:rPr>
        <w:t>addressed all issues indicated in the review report, and</w:t>
      </w:r>
      <w:r>
        <w:rPr>
          <w:rFonts w:hint="eastAsia"/>
          <w:sz w:val="24"/>
        </w:rPr>
        <w:t xml:space="preserve"> believe</w:t>
      </w:r>
      <w:r>
        <w:rPr>
          <w:sz w:val="24"/>
        </w:rPr>
        <w:t>d</w:t>
      </w:r>
      <w:r>
        <w:rPr>
          <w:rFonts w:hint="eastAsia"/>
          <w:sz w:val="24"/>
        </w:rPr>
        <w:t xml:space="preserve"> that </w:t>
      </w:r>
      <w:r>
        <w:rPr>
          <w:sz w:val="24"/>
        </w:rPr>
        <w:t>the revised version</w:t>
      </w:r>
      <w:r>
        <w:rPr>
          <w:rFonts w:hint="eastAsia"/>
          <w:sz w:val="24"/>
        </w:rPr>
        <w:t xml:space="preserve"> can meet the </w:t>
      </w:r>
      <w:r>
        <w:rPr>
          <w:sz w:val="24"/>
        </w:rPr>
        <w:t>j</w:t>
      </w:r>
      <w:r>
        <w:rPr>
          <w:rFonts w:hint="eastAsia"/>
          <w:sz w:val="24"/>
        </w:rPr>
        <w:t xml:space="preserve">ournal </w:t>
      </w:r>
      <w:r>
        <w:rPr>
          <w:sz w:val="24"/>
        </w:rPr>
        <w:t xml:space="preserve">publication </w:t>
      </w:r>
      <w:r>
        <w:rPr>
          <w:rFonts w:hint="eastAsia"/>
          <w:sz w:val="24"/>
        </w:rPr>
        <w:t>requirements.</w:t>
      </w:r>
      <w:r>
        <w:rPr>
          <w:sz w:val="24"/>
        </w:rPr>
        <w:t xml:space="preserve"> We have included the line numbers in the revised manuscript to help the reviewers identify our changes.</w:t>
      </w:r>
    </w:p>
    <w:p w:rsidR="00155631" w:rsidRDefault="00155631" w:rsidP="00155631">
      <w:pPr>
        <w:spacing w:line="360" w:lineRule="auto"/>
        <w:rPr>
          <w:sz w:val="24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4158"/>
        <w:gridCol w:w="3508"/>
        <w:gridCol w:w="1910"/>
      </w:tblGrid>
      <w:tr w:rsidR="00155631" w:rsidRPr="001118F0" w:rsidTr="007A78F0">
        <w:trPr>
          <w:tblHeader/>
        </w:trPr>
        <w:tc>
          <w:tcPr>
            <w:tcW w:w="4158" w:type="dxa"/>
          </w:tcPr>
          <w:p w:rsidR="00155631" w:rsidRPr="001118F0" w:rsidRDefault="00155631" w:rsidP="00034DBB">
            <w:pPr>
              <w:tabs>
                <w:tab w:val="left" w:pos="2325"/>
              </w:tabs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Comment</w:t>
            </w:r>
          </w:p>
        </w:tc>
        <w:tc>
          <w:tcPr>
            <w:tcW w:w="3508" w:type="dxa"/>
          </w:tcPr>
          <w:p w:rsidR="00155631" w:rsidRPr="001118F0" w:rsidRDefault="00155631" w:rsidP="00034DBB">
            <w:pPr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Response</w:t>
            </w:r>
          </w:p>
        </w:tc>
        <w:tc>
          <w:tcPr>
            <w:tcW w:w="1910" w:type="dxa"/>
          </w:tcPr>
          <w:p w:rsidR="00155631" w:rsidRPr="001118F0" w:rsidRDefault="00155631" w:rsidP="00034DBB">
            <w:pPr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Location of Response in Revised Manuscript</w:t>
            </w:r>
          </w:p>
        </w:tc>
      </w:tr>
      <w:tr w:rsidR="00155631" w:rsidRPr="001118F0" w:rsidTr="007A78F0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874E5A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EDITOR</w:t>
            </w:r>
            <w:r>
              <w:rPr>
                <w:b/>
                <w:sz w:val="24"/>
                <w:szCs w:val="24"/>
              </w:rPr>
              <w:t>’</w:t>
            </w:r>
            <w:r w:rsidRPr="001118F0">
              <w:rPr>
                <w:b/>
                <w:sz w:val="24"/>
                <w:szCs w:val="24"/>
              </w:rPr>
              <w:t>S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1118F0" w:rsidRDefault="00155631" w:rsidP="00874E5A">
            <w:pPr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1118F0" w:rsidRDefault="00155631" w:rsidP="00874E5A">
            <w:pPr>
              <w:rPr>
                <w:b/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7A78F0" w:rsidRDefault="00155631" w:rsidP="00874E5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7A78F0" w:rsidRDefault="00155631" w:rsidP="00874E5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7A78F0" w:rsidRDefault="00155631" w:rsidP="00874E5A">
            <w:pPr>
              <w:rPr>
                <w:color w:val="FF0000"/>
                <w:sz w:val="24"/>
                <w:szCs w:val="24"/>
              </w:rPr>
            </w:pPr>
          </w:p>
        </w:tc>
      </w:tr>
      <w:tr w:rsidR="007A78F0" w:rsidRPr="001118F0" w:rsidTr="007A78F0">
        <w:tc>
          <w:tcPr>
            <w:tcW w:w="4158" w:type="dxa"/>
          </w:tcPr>
          <w:p w:rsidR="007A78F0" w:rsidRPr="00BB69CA" w:rsidRDefault="007A78F0" w:rsidP="00874E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A78F0" w:rsidRPr="00BB69CA" w:rsidRDefault="007A78F0" w:rsidP="00874E5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7A78F0" w:rsidRPr="00BB69CA" w:rsidRDefault="007A78F0" w:rsidP="00874E5A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874E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874E5A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REVIEWER 1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874E5A" w:rsidRPr="00874E5A" w:rsidRDefault="00874E5A" w:rsidP="00874E5A">
            <w:pPr>
              <w:jc w:val="left"/>
              <w:rPr>
                <w:sz w:val="24"/>
                <w:szCs w:val="24"/>
              </w:rPr>
            </w:pPr>
            <w:r w:rsidRPr="00874E5A">
              <w:rPr>
                <w:sz w:val="24"/>
                <w:szCs w:val="24"/>
              </w:rPr>
              <w:t>This manuscript leads to illogical claim and (or) conclusion.</w:t>
            </w:r>
          </w:p>
          <w:p w:rsidR="00874E5A" w:rsidRPr="00874E5A" w:rsidRDefault="00874E5A" w:rsidP="00874E5A">
            <w:pPr>
              <w:jc w:val="left"/>
              <w:rPr>
                <w:sz w:val="24"/>
                <w:szCs w:val="24"/>
              </w:rPr>
            </w:pPr>
          </w:p>
          <w:p w:rsidR="00155631" w:rsidRPr="001118F0" w:rsidRDefault="00874E5A" w:rsidP="00874E5A">
            <w:pPr>
              <w:jc w:val="left"/>
              <w:rPr>
                <w:b/>
                <w:sz w:val="24"/>
                <w:szCs w:val="24"/>
              </w:rPr>
            </w:pPr>
            <w:r w:rsidRPr="00874E5A">
              <w:rPr>
                <w:sz w:val="24"/>
                <w:szCs w:val="24"/>
              </w:rPr>
              <w:t>First, it has a base premise that, the role of ZrO2 in the structure is for</w:t>
            </w:r>
            <w:r w:rsidRPr="00874E5A">
              <w:rPr>
                <w:sz w:val="24"/>
                <w:szCs w:val="24"/>
              </w:rPr>
              <w:br/>
              <w:t>a spacing insulator to separate dyed TiO2 layer and carbon layer</w:t>
            </w:r>
            <w:r w:rsidRPr="00874E5A">
              <w:rPr>
                <w:sz w:val="24"/>
                <w:szCs w:val="24"/>
              </w:rPr>
              <w:br/>
              <w:t>electrically [5]-[6].</w:t>
            </w:r>
            <w:r w:rsidRPr="00874E5A">
              <w:rPr>
                <w:sz w:val="24"/>
                <w:szCs w:val="24"/>
              </w:rPr>
              <w:br/>
            </w:r>
            <w:r w:rsidRPr="00874E5A">
              <w:rPr>
                <w:sz w:val="24"/>
                <w:szCs w:val="24"/>
              </w:rPr>
              <w:br/>
              <w:t>On the other hand, in conclusion, authors claimed that the best device</w:t>
            </w:r>
            <w:r w:rsidRPr="00874E5A">
              <w:rPr>
                <w:sz w:val="24"/>
                <w:szCs w:val="24"/>
              </w:rPr>
              <w:br/>
              <w:t>structure from the measurement is A (or B). In which in this device</w:t>
            </w:r>
            <w:r w:rsidRPr="00874E5A">
              <w:rPr>
                <w:sz w:val="24"/>
                <w:szCs w:val="24"/>
              </w:rPr>
              <w:br/>
              <w:t>structure, the ZrO2 does not insulate the TiO2 and Carbon (Fig. 4 a and b).</w:t>
            </w:r>
            <w:r w:rsidRPr="00874E5A">
              <w:rPr>
                <w:sz w:val="24"/>
                <w:szCs w:val="24"/>
              </w:rPr>
              <w:br/>
              <w:t>It means the conclusion doesn't fulfill the premise in the reference [5-6].</w:t>
            </w:r>
            <w:r w:rsidRPr="00874E5A">
              <w:rPr>
                <w:sz w:val="24"/>
                <w:szCs w:val="24"/>
              </w:rPr>
              <w:br/>
            </w:r>
            <w:r w:rsidRPr="00874E5A">
              <w:rPr>
                <w:sz w:val="24"/>
                <w:szCs w:val="24"/>
              </w:rPr>
              <w:lastRenderedPageBreak/>
              <w:t>Therefore the conclusion (or the manuscript plot) has an irrational</w:t>
            </w:r>
            <w:r w:rsidRPr="00874E5A">
              <w:rPr>
                <w:sz w:val="24"/>
                <w:szCs w:val="24"/>
              </w:rPr>
              <w:br/>
              <w:t xml:space="preserve">structure. </w:t>
            </w:r>
            <w:r w:rsidRPr="00874E5A">
              <w:rPr>
                <w:sz w:val="24"/>
                <w:szCs w:val="24"/>
              </w:rPr>
              <w:br/>
            </w:r>
            <w:r w:rsidRPr="00874E5A">
              <w:rPr>
                <w:sz w:val="24"/>
                <w:szCs w:val="24"/>
              </w:rPr>
              <w:br/>
              <w:t>In the case author claim is correct, the authors need a counterargument</w:t>
            </w:r>
            <w:r w:rsidRPr="00874E5A">
              <w:rPr>
                <w:sz w:val="24"/>
                <w:szCs w:val="24"/>
              </w:rPr>
              <w:br/>
              <w:t>explanation (or counterargument paper) to counter the statement in reference</w:t>
            </w:r>
            <w:r w:rsidRPr="00874E5A">
              <w:rPr>
                <w:sz w:val="24"/>
                <w:szCs w:val="24"/>
              </w:rPr>
              <w:br/>
              <w:t>[5-6], which is cited in the introduction.</w:t>
            </w:r>
            <w:r w:rsidRPr="00874E5A">
              <w:rPr>
                <w:sz w:val="24"/>
                <w:szCs w:val="24"/>
              </w:rPr>
              <w:br/>
            </w:r>
            <w:r w:rsidRPr="00874E5A">
              <w:rPr>
                <w:sz w:val="24"/>
                <w:szCs w:val="24"/>
              </w:rPr>
              <w:br/>
              <w:t>The author answer (in the supplementary material) r</w:t>
            </w:r>
            <w:r>
              <w:rPr>
                <w:sz w:val="24"/>
                <w:szCs w:val="24"/>
              </w:rPr>
              <w:t xml:space="preserve">elated this part explain </w:t>
            </w:r>
            <w:r w:rsidRPr="00874E5A">
              <w:rPr>
                <w:sz w:val="24"/>
                <w:szCs w:val="24"/>
              </w:rPr>
              <w:t>about FTO contact to ZrO2. layer Th</w:t>
            </w:r>
            <w:r>
              <w:rPr>
                <w:sz w:val="24"/>
                <w:szCs w:val="24"/>
              </w:rPr>
              <w:t xml:space="preserve">erefore this explanation has no </w:t>
            </w:r>
            <w:r w:rsidRPr="00874E5A">
              <w:rPr>
                <w:sz w:val="24"/>
                <w:szCs w:val="24"/>
              </w:rPr>
              <w:t>correlation at all to the premise and the reviewer question.</w:t>
            </w:r>
          </w:p>
        </w:tc>
        <w:tc>
          <w:tcPr>
            <w:tcW w:w="3508" w:type="dxa"/>
          </w:tcPr>
          <w:p w:rsidR="00155631" w:rsidRPr="0041197C" w:rsidRDefault="0041197C" w:rsidP="00555CF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 role of spacer layer such as ZrO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to prevent recombination only works in the active TiO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layer section (in working electrode area) as discussed in [7].</w:t>
            </w:r>
            <w:r w:rsidR="00555CF5">
              <w:t xml:space="preserve"> </w:t>
            </w:r>
            <w:r w:rsidR="00555CF5" w:rsidRPr="00555CF5">
              <w:rPr>
                <w:sz w:val="24"/>
                <w:szCs w:val="24"/>
              </w:rPr>
              <w:t>Therefore we have added a reference pertaining to the role of ZrO2 other than t</w:t>
            </w:r>
            <w:r w:rsidR="00555CF5">
              <w:rPr>
                <w:sz w:val="24"/>
                <w:szCs w:val="24"/>
              </w:rPr>
              <w:t>hose mentioned in reference [5]-</w:t>
            </w:r>
            <w:r w:rsidR="00555CF5" w:rsidRPr="00555CF5">
              <w:rPr>
                <w:sz w:val="24"/>
                <w:szCs w:val="24"/>
              </w:rPr>
              <w:t xml:space="preserve">[6] in the Introduction </w:t>
            </w:r>
            <w:r w:rsidR="00555CF5">
              <w:rPr>
                <w:sz w:val="24"/>
                <w:szCs w:val="24"/>
              </w:rPr>
              <w:t>section</w:t>
            </w:r>
            <w:r w:rsidR="00555CF5" w:rsidRPr="00555CF5">
              <w:rPr>
                <w:sz w:val="24"/>
                <w:szCs w:val="24"/>
              </w:rPr>
              <w:t>. we also added a discussion of cells with geometrical structures of C whose performance is lower than the structures A and B in the Results and Discussion Section. We also do a little extra sentence in the conclusion section.</w:t>
            </w:r>
          </w:p>
        </w:tc>
        <w:tc>
          <w:tcPr>
            <w:tcW w:w="1910" w:type="dxa"/>
          </w:tcPr>
          <w:p w:rsidR="00155631" w:rsidRPr="001118F0" w:rsidRDefault="00555CF5" w:rsidP="00555CF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Introduction, Result and Discussion, and Conclusion sections</w:t>
            </w:r>
            <w:r>
              <w:rPr>
                <w:sz w:val="24"/>
              </w:rPr>
              <w:t>.</w:t>
            </w:r>
            <w:bookmarkStart w:id="0" w:name="_GoBack"/>
            <w:bookmarkEnd w:id="0"/>
          </w:p>
        </w:tc>
      </w:tr>
      <w:tr w:rsidR="00155631" w:rsidRPr="001118F0" w:rsidTr="007A78F0">
        <w:tc>
          <w:tcPr>
            <w:tcW w:w="4158" w:type="dxa"/>
          </w:tcPr>
          <w:p w:rsidR="00155631" w:rsidRPr="00874E5A" w:rsidRDefault="00874E5A" w:rsidP="00874E5A">
            <w:pPr>
              <w:jc w:val="left"/>
              <w:rPr>
                <w:b/>
                <w:sz w:val="24"/>
                <w:szCs w:val="24"/>
              </w:rPr>
            </w:pPr>
            <w:r w:rsidRPr="00874E5A">
              <w:rPr>
                <w:sz w:val="24"/>
                <w:szCs w:val="24"/>
              </w:rPr>
              <w:lastRenderedPageBreak/>
              <w:t>The electrolyte part is missing in the st</w:t>
            </w:r>
            <w:r>
              <w:rPr>
                <w:sz w:val="24"/>
                <w:szCs w:val="24"/>
              </w:rPr>
              <w:t xml:space="preserve">ructure of Fig. 4 (a-d). It has </w:t>
            </w:r>
            <w:r w:rsidRPr="00874E5A">
              <w:rPr>
                <w:sz w:val="24"/>
                <w:szCs w:val="24"/>
              </w:rPr>
              <w:t>an important role in the DSSC monolithic str</w:t>
            </w:r>
            <w:r>
              <w:rPr>
                <w:sz w:val="24"/>
                <w:szCs w:val="24"/>
              </w:rPr>
              <w:t xml:space="preserve">ucture. because it is important </w:t>
            </w:r>
            <w:r w:rsidRPr="00874E5A">
              <w:rPr>
                <w:sz w:val="24"/>
                <w:szCs w:val="24"/>
              </w:rPr>
              <w:t>to analyze the determines the first functi</w:t>
            </w:r>
            <w:r>
              <w:rPr>
                <w:sz w:val="24"/>
                <w:szCs w:val="24"/>
              </w:rPr>
              <w:t xml:space="preserve">on of ZrO2 as transportation of </w:t>
            </w:r>
            <w:r w:rsidRPr="00874E5A">
              <w:rPr>
                <w:sz w:val="24"/>
                <w:szCs w:val="24"/>
              </w:rPr>
              <w:t>electrolyte to dyed porous TiO2 layer.</w:t>
            </w:r>
          </w:p>
        </w:tc>
        <w:tc>
          <w:tcPr>
            <w:tcW w:w="3508" w:type="dxa"/>
          </w:tcPr>
          <w:p w:rsidR="00155631" w:rsidRPr="001118F0" w:rsidRDefault="00DE3B33" w:rsidP="00874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have revise</w:t>
            </w:r>
            <w:r w:rsidR="00251508">
              <w:rPr>
                <w:sz w:val="24"/>
                <w:szCs w:val="24"/>
              </w:rPr>
              <w:t xml:space="preserve">d the figure of Figure 4 (a-d) </w:t>
            </w:r>
            <w:r>
              <w:rPr>
                <w:sz w:val="24"/>
                <w:szCs w:val="24"/>
              </w:rPr>
              <w:t>by adding electrolyte part (yellow).</w:t>
            </w:r>
          </w:p>
        </w:tc>
        <w:tc>
          <w:tcPr>
            <w:tcW w:w="1910" w:type="dxa"/>
          </w:tcPr>
          <w:p w:rsidR="00155631" w:rsidRPr="001118F0" w:rsidRDefault="00DE3B33" w:rsidP="00874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Figure 4 (a-d)</w:t>
            </w: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874E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874E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874E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DB731C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874E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874E5A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874E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874E5A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 xml:space="preserve">REVIEWER 2 </w:t>
            </w:r>
            <w:r w:rsidR="00485F16" w:rsidRPr="001118F0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934268" w:rsidRDefault="00155631" w:rsidP="0087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874E5A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771876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874E5A">
            <w:pPr>
              <w:rPr>
                <w:sz w:val="24"/>
                <w:szCs w:val="24"/>
              </w:rPr>
            </w:pPr>
          </w:p>
        </w:tc>
      </w:tr>
    </w:tbl>
    <w:p w:rsidR="00155631" w:rsidRPr="00155631" w:rsidRDefault="00155631" w:rsidP="00155631">
      <w:pPr>
        <w:spacing w:line="360" w:lineRule="auto"/>
        <w:rPr>
          <w:sz w:val="24"/>
        </w:rPr>
      </w:pPr>
    </w:p>
    <w:sectPr w:rsidR="00155631" w:rsidRPr="00155631" w:rsidSect="00C41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1D2" w:rsidRDefault="006401D2" w:rsidP="00155631">
      <w:r>
        <w:separator/>
      </w:r>
    </w:p>
  </w:endnote>
  <w:endnote w:type="continuationSeparator" w:id="0">
    <w:p w:rsidR="006401D2" w:rsidRDefault="006401D2" w:rsidP="0015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1D2" w:rsidRDefault="006401D2" w:rsidP="00155631">
      <w:r>
        <w:separator/>
      </w:r>
    </w:p>
  </w:footnote>
  <w:footnote w:type="continuationSeparator" w:id="0">
    <w:p w:rsidR="006401D2" w:rsidRDefault="006401D2" w:rsidP="0015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036FC"/>
    <w:multiLevelType w:val="hybridMultilevel"/>
    <w:tmpl w:val="ADCA9166"/>
    <w:lvl w:ilvl="0" w:tplc="B76AC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7U0MrYwNDQ0AmFTJR2l4NTi4sz8PJACw1oA70utgiwAAAA="/>
  </w:docVars>
  <w:rsids>
    <w:rsidRoot w:val="00F02491"/>
    <w:rsid w:val="00007AA1"/>
    <w:rsid w:val="00034DBB"/>
    <w:rsid w:val="00113BA2"/>
    <w:rsid w:val="00155631"/>
    <w:rsid w:val="00164861"/>
    <w:rsid w:val="00251508"/>
    <w:rsid w:val="002853C3"/>
    <w:rsid w:val="004103D0"/>
    <w:rsid w:val="0041197C"/>
    <w:rsid w:val="00485F16"/>
    <w:rsid w:val="00555CF5"/>
    <w:rsid w:val="006401D2"/>
    <w:rsid w:val="007A78F0"/>
    <w:rsid w:val="007C67ED"/>
    <w:rsid w:val="007E1A15"/>
    <w:rsid w:val="00874E5A"/>
    <w:rsid w:val="009257D8"/>
    <w:rsid w:val="00AE01E3"/>
    <w:rsid w:val="00B06B4D"/>
    <w:rsid w:val="00BB12A4"/>
    <w:rsid w:val="00BB69CA"/>
    <w:rsid w:val="00C41A81"/>
    <w:rsid w:val="00CC65D0"/>
    <w:rsid w:val="00D07A0C"/>
    <w:rsid w:val="00DE3B33"/>
    <w:rsid w:val="00EC2DC1"/>
    <w:rsid w:val="00EE6179"/>
    <w:rsid w:val="00F02491"/>
    <w:rsid w:val="00F3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C97FDD-BC9B-4561-9D25-18A14D0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63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6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5631"/>
  </w:style>
  <w:style w:type="paragraph" w:styleId="Footer">
    <w:name w:val="footer"/>
    <w:basedOn w:val="Normal"/>
    <w:link w:val="Foot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5631"/>
  </w:style>
  <w:style w:type="character" w:customStyle="1" w:styleId="Heading1Char">
    <w:name w:val="Heading 1 Char"/>
    <w:basedOn w:val="DefaultParagraphFont"/>
    <w:link w:val="Heading1"/>
    <w:rsid w:val="00155631"/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31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1556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</dc:creator>
  <cp:lastModifiedBy>Bayu Nugraha</cp:lastModifiedBy>
  <cp:revision>11</cp:revision>
  <dcterms:created xsi:type="dcterms:W3CDTF">2016-12-01T02:56:00Z</dcterms:created>
  <dcterms:modified xsi:type="dcterms:W3CDTF">2018-07-19T15:13:00Z</dcterms:modified>
</cp:coreProperties>
</file>