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proofErr w:type="spellStart"/>
      <w:r w:rsidRPr="00155631">
        <w:rPr>
          <w:b/>
          <w:sz w:val="24"/>
        </w:rPr>
        <w:t>Jurnal</w:t>
      </w:r>
      <w:proofErr w:type="spellEnd"/>
      <w:r w:rsidRPr="00155631">
        <w:rPr>
          <w:b/>
          <w:sz w:val="24"/>
        </w:rPr>
        <w:t xml:space="preserve"> </w:t>
      </w:r>
      <w:proofErr w:type="spellStart"/>
      <w:r w:rsidRPr="00155631">
        <w:rPr>
          <w:b/>
          <w:sz w:val="24"/>
        </w:rPr>
        <w:t>Elektronika</w:t>
      </w:r>
      <w:proofErr w:type="spellEnd"/>
      <w:r w:rsidRPr="00155631">
        <w:rPr>
          <w:b/>
          <w:sz w:val="24"/>
        </w:rPr>
        <w:t xml:space="preserve"> </w:t>
      </w:r>
      <w:proofErr w:type="spellStart"/>
      <w:r w:rsidRPr="00155631">
        <w:rPr>
          <w:b/>
          <w:sz w:val="24"/>
        </w:rPr>
        <w:t>dan</w:t>
      </w:r>
      <w:proofErr w:type="spellEnd"/>
      <w:r w:rsidRPr="00155631">
        <w:rPr>
          <w:b/>
          <w:sz w:val="24"/>
        </w:rPr>
        <w:t xml:space="preserve">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proofErr w:type="spellStart"/>
      <w:r w:rsidR="00B67173" w:rsidRPr="008B62B6">
        <w:rPr>
          <w:sz w:val="24"/>
        </w:rPr>
        <w:t>Kinerja</w:t>
      </w:r>
      <w:proofErr w:type="spellEnd"/>
      <w:r w:rsidR="00B67173" w:rsidRPr="008B62B6">
        <w:rPr>
          <w:sz w:val="24"/>
        </w:rPr>
        <w:t xml:space="preserve"> </w:t>
      </w:r>
      <w:proofErr w:type="spellStart"/>
      <w:r w:rsidR="00B67173" w:rsidRPr="008B62B6">
        <w:rPr>
          <w:sz w:val="24"/>
        </w:rPr>
        <w:t>Berbagai</w:t>
      </w:r>
      <w:proofErr w:type="spellEnd"/>
      <w:r w:rsidR="00B67173" w:rsidRPr="008B62B6">
        <w:rPr>
          <w:sz w:val="24"/>
        </w:rPr>
        <w:t xml:space="preserve"> </w:t>
      </w:r>
      <w:proofErr w:type="spellStart"/>
      <w:r w:rsidR="00B67173" w:rsidRPr="008B62B6">
        <w:rPr>
          <w:sz w:val="24"/>
        </w:rPr>
        <w:t>Modulasi</w:t>
      </w:r>
      <w:proofErr w:type="spellEnd"/>
      <w:r w:rsidR="00B67173" w:rsidRPr="008B62B6">
        <w:rPr>
          <w:sz w:val="24"/>
        </w:rPr>
        <w:t xml:space="preserve"> </w:t>
      </w:r>
      <w:proofErr w:type="spellStart"/>
      <w:r w:rsidR="00B67173" w:rsidRPr="008B62B6">
        <w:rPr>
          <w:sz w:val="24"/>
        </w:rPr>
        <w:t>pada</w:t>
      </w:r>
      <w:proofErr w:type="spellEnd"/>
      <w:r w:rsidR="00B67173" w:rsidRPr="008B62B6">
        <w:rPr>
          <w:sz w:val="24"/>
        </w:rPr>
        <w:t xml:space="preserve"> </w:t>
      </w:r>
      <w:proofErr w:type="spellStart"/>
      <w:r w:rsidR="00B67173" w:rsidRPr="008B62B6">
        <w:rPr>
          <w:sz w:val="24"/>
        </w:rPr>
        <w:t>Kanal</w:t>
      </w:r>
      <w:proofErr w:type="spellEnd"/>
      <w:r w:rsidR="00B67173" w:rsidRPr="008B62B6">
        <w:rPr>
          <w:sz w:val="24"/>
        </w:rPr>
        <w:t xml:space="preserve"> </w:t>
      </w:r>
      <w:proofErr w:type="spellStart"/>
      <w:r w:rsidR="00B67173" w:rsidRPr="008B62B6">
        <w:rPr>
          <w:sz w:val="24"/>
        </w:rPr>
        <w:t>Optik</w:t>
      </w:r>
      <w:proofErr w:type="spellEnd"/>
      <w:r w:rsidR="00B67173" w:rsidRPr="008B62B6">
        <w:rPr>
          <w:sz w:val="24"/>
        </w:rPr>
        <w:t xml:space="preserve"> </w:t>
      </w:r>
      <w:proofErr w:type="spellStart"/>
      <w:r w:rsidR="00B67173" w:rsidRPr="008B62B6">
        <w:rPr>
          <w:sz w:val="24"/>
        </w:rPr>
        <w:t>Nir</w:t>
      </w:r>
      <w:proofErr w:type="spellEnd"/>
      <w:r w:rsidR="00B67173" w:rsidRPr="008B62B6">
        <w:rPr>
          <w:sz w:val="24"/>
        </w:rPr>
        <w:t xml:space="preserve"> </w:t>
      </w:r>
      <w:proofErr w:type="spellStart"/>
      <w:r w:rsidR="00B67173" w:rsidRPr="008B62B6">
        <w:rPr>
          <w:sz w:val="24"/>
        </w:rPr>
        <w:t>Kabel</w:t>
      </w:r>
      <w:proofErr w:type="spellEnd"/>
    </w:p>
    <w:p w:rsidR="00C41A81" w:rsidRPr="00B67173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  <w:lang w:val="id-ID"/>
        </w:rPr>
      </w:pPr>
      <w:r w:rsidRPr="00155631">
        <w:rPr>
          <w:rFonts w:hint="eastAsia"/>
          <w:b/>
          <w:i/>
          <w:sz w:val="24"/>
        </w:rPr>
        <w:t>Authors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 xml:space="preserve"> </w:t>
      </w:r>
      <w:r w:rsidRPr="00155631">
        <w:rPr>
          <w:b/>
          <w:sz w:val="24"/>
        </w:rPr>
        <w:tab/>
      </w:r>
      <w:proofErr w:type="gramStart"/>
      <w:r w:rsidR="00B67173">
        <w:rPr>
          <w:b/>
          <w:sz w:val="24"/>
          <w:lang w:val="id-ID"/>
        </w:rPr>
        <w:t>Dwi</w:t>
      </w:r>
      <w:proofErr w:type="gramEnd"/>
      <w:r w:rsidR="00B67173">
        <w:rPr>
          <w:b/>
          <w:sz w:val="24"/>
          <w:lang w:val="id-ID"/>
        </w:rPr>
        <w:t xml:space="preserve"> Astharini, Ary Mayola, Octarina Samijayani, Ary Syahriar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5211"/>
        <w:gridCol w:w="2835"/>
        <w:gridCol w:w="1559"/>
      </w:tblGrid>
      <w:tr w:rsidR="00155631" w:rsidRPr="001118F0" w:rsidTr="00B67173">
        <w:trPr>
          <w:tblHeader/>
        </w:trPr>
        <w:tc>
          <w:tcPr>
            <w:tcW w:w="5211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Comment</w:t>
            </w:r>
          </w:p>
        </w:tc>
        <w:tc>
          <w:tcPr>
            <w:tcW w:w="2835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Response</w:t>
            </w:r>
          </w:p>
        </w:tc>
        <w:tc>
          <w:tcPr>
            <w:tcW w:w="1559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Location of Response in Revised Manuscript</w:t>
            </w:r>
          </w:p>
        </w:tc>
      </w:tr>
      <w:tr w:rsidR="00155631" w:rsidRPr="001118F0" w:rsidTr="00B67173">
        <w:tc>
          <w:tcPr>
            <w:tcW w:w="5211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EDITOR</w:t>
            </w:r>
            <w:r>
              <w:rPr>
                <w:b/>
                <w:sz w:val="24"/>
              </w:rPr>
              <w:t>’</w:t>
            </w:r>
            <w:r w:rsidRPr="001118F0">
              <w:rPr>
                <w:b/>
                <w:sz w:val="24"/>
              </w:rPr>
              <w:t>S COMMENTS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</w:p>
        </w:tc>
      </w:tr>
      <w:tr w:rsidR="00155631" w:rsidRPr="001118F0" w:rsidTr="00B67173">
        <w:tc>
          <w:tcPr>
            <w:tcW w:w="5211" w:type="dxa"/>
          </w:tcPr>
          <w:p w:rsidR="00155631" w:rsidRPr="00B67173" w:rsidRDefault="00B67173" w:rsidP="0004519E">
            <w:pPr>
              <w:rPr>
                <w:color w:val="FF0000"/>
                <w:sz w:val="24"/>
                <w:lang w:val="id-ID"/>
              </w:rPr>
            </w:pPr>
            <w:r>
              <w:rPr>
                <w:color w:val="FF0000"/>
                <w:sz w:val="24"/>
                <w:lang w:val="id-ID"/>
              </w:rPr>
              <w:t>-</w:t>
            </w:r>
          </w:p>
        </w:tc>
        <w:tc>
          <w:tcPr>
            <w:tcW w:w="2835" w:type="dxa"/>
          </w:tcPr>
          <w:p w:rsidR="00155631" w:rsidRPr="007A78F0" w:rsidRDefault="00155631" w:rsidP="0004519E">
            <w:pPr>
              <w:rPr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155631" w:rsidRPr="007A78F0" w:rsidRDefault="00155631" w:rsidP="0004519E">
            <w:pPr>
              <w:rPr>
                <w:color w:val="FF0000"/>
                <w:sz w:val="24"/>
              </w:rPr>
            </w:pPr>
          </w:p>
        </w:tc>
      </w:tr>
      <w:tr w:rsidR="00155631" w:rsidRPr="001118F0" w:rsidTr="00B67173">
        <w:tc>
          <w:tcPr>
            <w:tcW w:w="5211" w:type="dxa"/>
          </w:tcPr>
          <w:p w:rsidR="00155631" w:rsidRPr="001118F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</w:tr>
      <w:tr w:rsidR="00155631" w:rsidRPr="001118F0" w:rsidTr="00B67173">
        <w:tc>
          <w:tcPr>
            <w:tcW w:w="5211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REVIEWER 1 COMMENTS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8806A9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komen</w:t>
            </w:r>
            <w:r>
              <w:rPr>
                <w:rFonts w:ascii="Courier" w:hAnsi="Courier" w:cs="Courier"/>
                <w:sz w:val="24"/>
              </w:rPr>
              <w:t>tar</w:t>
            </w:r>
            <w:proofErr w:type="spellEnd"/>
            <w:r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>
              <w:rPr>
                <w:rFonts w:ascii="Courier" w:hAnsi="Courier" w:cs="Courier"/>
                <w:sz w:val="24"/>
              </w:rPr>
              <w:t>dan</w:t>
            </w:r>
            <w:proofErr w:type="spellEnd"/>
            <w:r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>
              <w:rPr>
                <w:rFonts w:ascii="Courier" w:hAnsi="Courier" w:cs="Courier"/>
                <w:sz w:val="24"/>
              </w:rPr>
              <w:t>terhadap</w:t>
            </w:r>
            <w:proofErr w:type="spellEnd"/>
            <w:r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>
              <w:rPr>
                <w:rFonts w:ascii="Courier" w:hAnsi="Courier" w:cs="Courier"/>
                <w:sz w:val="24"/>
              </w:rPr>
              <w:t>Abstrak</w:t>
            </w:r>
            <w:proofErr w:type="spellEnd"/>
            <w:r>
              <w:rPr>
                <w:rFonts w:ascii="Courier" w:hAnsi="Courier" w:cs="Courier"/>
                <w:sz w:val="24"/>
              </w:rPr>
              <w:t>:</w:t>
            </w:r>
          </w:p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t xml:space="preserve">Ada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beberapa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kata yang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salah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ketik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  <w:proofErr w:type="spellStart"/>
            <w:r w:rsidRPr="008B62B6">
              <w:rPr>
                <w:sz w:val="24"/>
              </w:rPr>
              <w:t>Telah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diperbaiki</w:t>
            </w:r>
            <w:proofErr w:type="spellEnd"/>
            <w:r w:rsidRPr="008B62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Abstrak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8806A9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ter</w:t>
            </w:r>
            <w:r>
              <w:rPr>
                <w:rFonts w:ascii="Courier" w:hAnsi="Courier" w:cs="Courier"/>
                <w:sz w:val="24"/>
              </w:rPr>
              <w:t>hadap</w:t>
            </w:r>
            <w:proofErr w:type="spellEnd"/>
            <w:r>
              <w:rPr>
                <w:rFonts w:ascii="Courier" w:hAnsi="Courier" w:cs="Courier"/>
                <w:sz w:val="24"/>
              </w:rPr>
              <w:t xml:space="preserve"> Introduction/</w:t>
            </w:r>
            <w:proofErr w:type="spellStart"/>
            <w:r>
              <w:rPr>
                <w:rFonts w:ascii="Courier" w:hAnsi="Courier" w:cs="Courier"/>
                <w:sz w:val="24"/>
              </w:rPr>
              <w:t>Pendahuluan</w:t>
            </w:r>
            <w:proofErr w:type="spellEnd"/>
            <w:r>
              <w:rPr>
                <w:rFonts w:ascii="Courier" w:hAnsi="Courier" w:cs="Courier"/>
                <w:sz w:val="24"/>
              </w:rPr>
              <w:t>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t xml:space="preserve">1. </w:t>
            </w:r>
            <w:proofErr w:type="spellStart"/>
            <w:proofErr w:type="gramStart"/>
            <w:r w:rsidRPr="008806A9">
              <w:rPr>
                <w:rFonts w:ascii="Courier" w:hAnsi="Courier" w:cs="Courier"/>
                <w:sz w:val="24"/>
              </w:rPr>
              <w:t>pada</w:t>
            </w:r>
            <w:proofErr w:type="spellEnd"/>
            <w:proofErr w:type="gram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alenia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2, "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Sistem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komunikasi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optik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digunakan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luas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selama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ini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,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pada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dasarnya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berbasis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modulasi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sederhana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on-off keying (OOK). " </w:t>
            </w:r>
          </w:p>
          <w:p w:rsidR="00B67173" w:rsidRPr="008806A9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proofErr w:type="gramStart"/>
            <w:r w:rsidRPr="008806A9">
              <w:rPr>
                <w:rFonts w:ascii="Courier" w:hAnsi="Courier" w:cs="Courier"/>
                <w:sz w:val="24"/>
              </w:rPr>
              <w:t>sebaiknya</w:t>
            </w:r>
            <w:proofErr w:type="spellEnd"/>
            <w:proofErr w:type="gram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ada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referensinya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B67173">
            <w:pPr>
              <w:jc w:val="left"/>
              <w:rPr>
                <w:sz w:val="24"/>
              </w:rPr>
            </w:pPr>
            <w:proofErr w:type="spellStart"/>
            <w:r w:rsidRPr="008B62B6">
              <w:rPr>
                <w:sz w:val="24"/>
              </w:rPr>
              <w:t>Telah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ditambahkan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referensi</w:t>
            </w:r>
            <w:proofErr w:type="spellEnd"/>
            <w:r w:rsidRPr="008B62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t xml:space="preserve">2.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Lifi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sebaiknya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ditulis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kepanjangannya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  <w:proofErr w:type="spellStart"/>
            <w:r w:rsidRPr="008B62B6">
              <w:rPr>
                <w:sz w:val="24"/>
              </w:rPr>
              <w:t>Kepanjangan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Lifi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Telah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dituliskan</w:t>
            </w:r>
            <w:proofErr w:type="spellEnd"/>
            <w:r w:rsidRPr="008B62B6">
              <w:rPr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8806A9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Methode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II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t>1. Di</w:t>
            </w:r>
            <w:r>
              <w:rPr>
                <w:rFonts w:ascii="Courier" w:hAnsi="Courier" w:cs="Courier"/>
                <w:sz w:val="24"/>
                <w:lang w:val="id-ID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bagian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II,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alenia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ke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2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pada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kalimat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terakhir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,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tolong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dicek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lagi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titik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komanya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Kalimat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diperbaiki</w:t>
            </w:r>
            <w:proofErr w:type="spellEnd"/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t xml:space="preserve">2.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Bagian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II, di</w:t>
            </w:r>
            <w:r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alenia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terakhir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, yang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menunjuk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referensi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[10]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mohon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dijelaskan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Nomor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referensi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berganti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menjadi</w:t>
            </w:r>
            <w:proofErr w:type="spellEnd"/>
            <w:r>
              <w:rPr>
                <w:sz w:val="24"/>
              </w:rPr>
              <w:t xml:space="preserve"> [11],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dijelaskan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akhir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bagian</w:t>
            </w:r>
            <w:proofErr w:type="spellEnd"/>
            <w:r>
              <w:rPr>
                <w:sz w:val="24"/>
              </w:rPr>
              <w:t xml:space="preserve"> II.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II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8806A9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lastRenderedPageBreak/>
              <w:t>terhadap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Pembahasan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lastRenderedPageBreak/>
              <w:t>ok</w:t>
            </w:r>
          </w:p>
        </w:tc>
        <w:tc>
          <w:tcPr>
            <w:tcW w:w="2835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8806A9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Kesimpulan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t>ok</w:t>
            </w:r>
          </w:p>
        </w:tc>
        <w:tc>
          <w:tcPr>
            <w:tcW w:w="2835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8806A9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Tabel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Gambar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r w:rsidRPr="008806A9">
              <w:rPr>
                <w:rFonts w:ascii="Courier" w:hAnsi="Courier" w:cs="Courier"/>
                <w:sz w:val="24"/>
              </w:rPr>
              <w:t>ok</w:t>
            </w:r>
          </w:p>
        </w:tc>
        <w:tc>
          <w:tcPr>
            <w:tcW w:w="2835" w:type="dxa"/>
          </w:tcPr>
          <w:p w:rsidR="00B67173" w:rsidRPr="00DB731C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8806A9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8806A9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Reference/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Daftar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8806A9">
              <w:rPr>
                <w:rFonts w:ascii="Courier" w:hAnsi="Courier" w:cs="Courier"/>
                <w:sz w:val="24"/>
              </w:rPr>
              <w:t>Pustaka</w:t>
            </w:r>
            <w:proofErr w:type="spellEnd"/>
            <w:r w:rsidRPr="008806A9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1118F0" w:rsidRDefault="00B67173" w:rsidP="0004519E">
            <w:pPr>
              <w:tabs>
                <w:tab w:val="left" w:pos="900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Default="00B67173" w:rsidP="00E12D2A">
            <w:r w:rsidRPr="008806A9">
              <w:rPr>
                <w:rFonts w:ascii="Courier" w:hAnsi="Courier" w:cs="Courier"/>
                <w:sz w:val="24"/>
              </w:rPr>
              <w:t>O</w:t>
            </w:r>
            <w:r w:rsidRPr="008806A9">
              <w:rPr>
                <w:rFonts w:ascii="Courier" w:hAnsi="Courier" w:cs="Courier"/>
                <w:sz w:val="24"/>
              </w:rPr>
              <w:t>k</w:t>
            </w:r>
          </w:p>
        </w:tc>
        <w:tc>
          <w:tcPr>
            <w:tcW w:w="2835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155631" w:rsidRPr="001118F0" w:rsidTr="00B67173">
        <w:tc>
          <w:tcPr>
            <w:tcW w:w="5211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 xml:space="preserve">REVIEWER 2 </w:t>
            </w:r>
            <w:r w:rsidR="00485F16" w:rsidRPr="001118F0">
              <w:rPr>
                <w:b/>
                <w:sz w:val="24"/>
              </w:rPr>
              <w:t>COMMENTS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Abstrak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Mohon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dicek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ulang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antara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versi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Indonesia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Inggris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terlihat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ada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ketidak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sesuain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sehingga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maksud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tidak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sama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  <w:proofErr w:type="spellStart"/>
            <w:r w:rsidRPr="008B62B6">
              <w:rPr>
                <w:sz w:val="24"/>
              </w:rPr>
              <w:t>Telah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diperbaiki</w:t>
            </w:r>
            <w:proofErr w:type="spellEnd"/>
            <w:r w:rsidRPr="008B62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Abstrak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Introduction/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Pendahuluan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JIka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memungkinkan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tambahkan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diskusi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membanding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aktifitas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dari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peneliti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gramStart"/>
            <w:r w:rsidRPr="00F409B5">
              <w:rPr>
                <w:rFonts w:ascii="Courier" w:hAnsi="Courier" w:cs="Courier"/>
                <w:sz w:val="24"/>
              </w:rPr>
              <w:t>lain</w:t>
            </w:r>
            <w:proofErr w:type="gram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sudah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terpublikasi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tentang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hal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dilakukan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. Dan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ungkapkan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sedang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dilakukan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saat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ini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punya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kebaruan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peningkatkan</w:t>
            </w:r>
            <w:proofErr w:type="spellEnd"/>
          </w:p>
        </w:tc>
        <w:tc>
          <w:tcPr>
            <w:tcW w:w="2835" w:type="dxa"/>
          </w:tcPr>
          <w:p w:rsidR="00B67173" w:rsidRPr="00B67173" w:rsidRDefault="00B67173" w:rsidP="00B67173">
            <w:pPr>
              <w:rPr>
                <w:sz w:val="24"/>
                <w:lang w:val="id-ID"/>
              </w:rPr>
            </w:pPr>
            <w:proofErr w:type="spellStart"/>
            <w:r w:rsidRPr="008B62B6">
              <w:rPr>
                <w:sz w:val="24"/>
              </w:rPr>
              <w:t>Telah</w:t>
            </w:r>
            <w:proofErr w:type="spellEnd"/>
            <w:r w:rsidRPr="008B62B6">
              <w:rPr>
                <w:sz w:val="24"/>
              </w:rPr>
              <w:t xml:space="preserve"> </w:t>
            </w:r>
            <w:proofErr w:type="spellStart"/>
            <w:r w:rsidRPr="008B62B6">
              <w:rPr>
                <w:sz w:val="24"/>
              </w:rPr>
              <w:t>ditambahkan</w:t>
            </w:r>
            <w:proofErr w:type="spellEnd"/>
            <w:r>
              <w:rPr>
                <w:sz w:val="24"/>
                <w:lang w:val="id-ID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Methode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Jika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memungkinkan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ditambahkan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diskusi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tentang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perhitungan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cara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mendapatkan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BER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biar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terjadi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konsistensi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dengan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hasil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diperoleh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pada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makalah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ini</w:t>
            </w:r>
            <w:proofErr w:type="spellEnd"/>
          </w:p>
        </w:tc>
        <w:tc>
          <w:tcPr>
            <w:tcW w:w="2835" w:type="dxa"/>
          </w:tcPr>
          <w:p w:rsidR="00B67173" w:rsidRPr="008B62B6" w:rsidRDefault="00B67173" w:rsidP="00B671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ditambahkan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II.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Pembahasan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Tolong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tambahkan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diskusi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dari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masing2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grafik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hasil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simulasi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.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mana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baik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apa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harus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dilakukan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untuk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bisa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lebih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meningkatkan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hasilnya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.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Sebagai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tambahan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,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cari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makalah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pembanding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hasil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experimen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untuk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menvalidasi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lastRenderedPageBreak/>
              <w:t>hasil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simulasi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sedang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dilakukan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saat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ini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B67173">
            <w:pPr>
              <w:rPr>
                <w:sz w:val="24"/>
              </w:rPr>
            </w:pPr>
            <w:r>
              <w:rPr>
                <w:sz w:val="24"/>
                <w:lang w:val="id-ID"/>
              </w:rPr>
              <w:lastRenderedPageBreak/>
              <w:t>S</w:t>
            </w:r>
            <w:proofErr w:type="spellStart"/>
            <w:r>
              <w:rPr>
                <w:sz w:val="24"/>
              </w:rPr>
              <w:t>udah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ditambahkan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>d</w:t>
            </w:r>
            <w:proofErr w:type="spellStart"/>
            <w:r>
              <w:rPr>
                <w:sz w:val="24"/>
              </w:rPr>
              <w:t>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diskusi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r>
              <w:rPr>
                <w:sz w:val="24"/>
              </w:rPr>
              <w:t>ngkat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sudah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sebelumnya</w:t>
            </w:r>
            <w:proofErr w:type="spellEnd"/>
            <w:r>
              <w:rPr>
                <w:sz w:val="24"/>
                <w:lang w:val="id-ID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IV.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lastRenderedPageBreak/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Kesimpulan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Perlu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ditambahkan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manfaat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dari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hasil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diperoleh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untuk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sistem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ada</w:t>
            </w:r>
            <w:proofErr w:type="spellEnd"/>
          </w:p>
        </w:tc>
        <w:tc>
          <w:tcPr>
            <w:tcW w:w="2835" w:type="dxa"/>
          </w:tcPr>
          <w:p w:rsidR="00B67173" w:rsidRPr="00B67173" w:rsidRDefault="00B67173" w:rsidP="00E12D2A">
            <w:pPr>
              <w:rPr>
                <w:sz w:val="24"/>
                <w:lang w:val="id-ID"/>
              </w:rPr>
            </w:pPr>
            <w:proofErr w:type="spellStart"/>
            <w:r>
              <w:rPr>
                <w:sz w:val="24"/>
              </w:rPr>
              <w:t>Ditambahkan</w:t>
            </w:r>
            <w:proofErr w:type="spellEnd"/>
            <w:r>
              <w:rPr>
                <w:sz w:val="24"/>
                <w:lang w:val="id-ID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I.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Tabel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Gambar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Grafik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agar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diperjelas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identitas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dari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masing-masing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axis (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terutama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yang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bagian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horizontal).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konsistensi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variable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satuan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antara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gambar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keterangan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dalam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penjabaran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.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Hati-hati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dengan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penggunaan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satuan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gambar</w:t>
            </w:r>
            <w:proofErr w:type="spellEnd"/>
            <w:r>
              <w:rPr>
                <w:sz w:val="24"/>
              </w:rPr>
              <w:t xml:space="preserve"> 2 &amp; 4, </w:t>
            </w:r>
            <w:proofErr w:type="spellStart"/>
            <w:r>
              <w:rPr>
                <w:sz w:val="24"/>
              </w:rPr>
              <w:t>ditambahkan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keterangan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judul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gambar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Gambar 2 &amp; 4.</w:t>
            </w: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F409B5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Reference/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Daftar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Pustaka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</w:tcPr>
          <w:p w:rsidR="00B67173" w:rsidRPr="00F409B5" w:rsidRDefault="00B67173" w:rsidP="00E12D2A">
            <w:pPr>
              <w:autoSpaceDE w:val="0"/>
              <w:autoSpaceDN w:val="0"/>
              <w:adjustRightInd w:val="0"/>
              <w:ind w:left="284"/>
              <w:rPr>
                <w:rFonts w:ascii="Courier" w:hAnsi="Courier" w:cs="Courier"/>
                <w:sz w:val="24"/>
              </w:rPr>
            </w:pPr>
            <w:proofErr w:type="spellStart"/>
            <w:proofErr w:type="gramStart"/>
            <w:r w:rsidRPr="00F409B5">
              <w:rPr>
                <w:rFonts w:ascii="Courier" w:hAnsi="Courier" w:cs="Courier"/>
                <w:sz w:val="24"/>
              </w:rPr>
              <w:t>pastikan</w:t>
            </w:r>
            <w:proofErr w:type="spellEnd"/>
            <w:proofErr w:type="gram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semua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referensi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digunakan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dalam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tubuh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makalah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di cite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dengan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tepat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pada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F409B5">
              <w:rPr>
                <w:rFonts w:ascii="Courier" w:hAnsi="Courier" w:cs="Courier"/>
                <w:sz w:val="24"/>
              </w:rPr>
              <w:t>tempatnya</w:t>
            </w:r>
            <w:proofErr w:type="spellEnd"/>
            <w:r w:rsidRPr="00F409B5">
              <w:rPr>
                <w:rFonts w:ascii="Courier" w:hAnsi="Courier" w:cs="Courier"/>
                <w:sz w:val="24"/>
              </w:rPr>
              <w:t>.</w:t>
            </w:r>
          </w:p>
        </w:tc>
        <w:tc>
          <w:tcPr>
            <w:tcW w:w="2835" w:type="dxa"/>
          </w:tcPr>
          <w:p w:rsidR="00B67173" w:rsidRPr="008B62B6" w:rsidRDefault="00B67173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dilakukan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B67173" w:rsidRPr="00B67173" w:rsidRDefault="00B67173" w:rsidP="0004519E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Seluruh referensi</w:t>
            </w:r>
          </w:p>
        </w:tc>
      </w:tr>
      <w:tr w:rsidR="00B67173" w:rsidRPr="001118F0" w:rsidTr="00B67173">
        <w:trPr>
          <w:trHeight w:val="70"/>
        </w:trPr>
        <w:tc>
          <w:tcPr>
            <w:tcW w:w="5211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67173" w:rsidRPr="001118F0" w:rsidRDefault="00B67173" w:rsidP="0004519E">
            <w:pPr>
              <w:rPr>
                <w:sz w:val="24"/>
              </w:rPr>
            </w:pPr>
          </w:p>
        </w:tc>
      </w:tr>
      <w:tr w:rsidR="00B67173" w:rsidRPr="001118F0" w:rsidTr="00B67173">
        <w:tc>
          <w:tcPr>
            <w:tcW w:w="5211" w:type="dxa"/>
            <w:shd w:val="clear" w:color="auto" w:fill="808080" w:themeFill="background1" w:themeFillShade="80"/>
          </w:tcPr>
          <w:p w:rsidR="00B67173" w:rsidRPr="001118F0" w:rsidRDefault="00B67173" w:rsidP="00B67173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 xml:space="preserve">REVIEWER </w:t>
            </w:r>
            <w:r w:rsidRPr="00B67173">
              <w:rPr>
                <w:b/>
                <w:sz w:val="24"/>
              </w:rPr>
              <w:t>3</w:t>
            </w:r>
            <w:r w:rsidRPr="001118F0">
              <w:rPr>
                <w:b/>
                <w:sz w:val="24"/>
              </w:rPr>
              <w:t xml:space="preserve"> COMMENTS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B67173" w:rsidRPr="00B67173" w:rsidRDefault="00B67173" w:rsidP="00E12D2A">
            <w:pPr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B67173" w:rsidRPr="00B67173" w:rsidRDefault="00B67173" w:rsidP="00E12D2A">
            <w:pPr>
              <w:rPr>
                <w:b/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Abstrak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ind w:left="426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Kurang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menggambarkan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secara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kuantitas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berapa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besarnya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keunggulan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metode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modulasi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tertentu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yg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dianggap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paling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baik</w:t>
            </w:r>
            <w:proofErr w:type="spellEnd"/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ditambah</w:t>
            </w:r>
            <w:proofErr w:type="spellEnd"/>
          </w:p>
        </w:tc>
        <w:tc>
          <w:tcPr>
            <w:tcW w:w="1559" w:type="dxa"/>
          </w:tcPr>
          <w:p w:rsidR="00F93200" w:rsidRPr="00F93200" w:rsidRDefault="00F93200" w:rsidP="00E12D2A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Abstrak</w:t>
            </w: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Introduction/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Pendahuluan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ind w:left="426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Tolong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LIFI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nya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di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terangkan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dibandingkan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juga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dgn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Wifi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...ok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ditambahkan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</w:t>
            </w:r>
            <w:proofErr w:type="spellEnd"/>
            <w:r>
              <w:rPr>
                <w:sz w:val="24"/>
              </w:rPr>
              <w:t xml:space="preserve"> bag. I</w:t>
            </w:r>
          </w:p>
        </w:tc>
        <w:tc>
          <w:tcPr>
            <w:tcW w:w="1559" w:type="dxa"/>
          </w:tcPr>
          <w:p w:rsidR="00F93200" w:rsidRPr="00F93200" w:rsidRDefault="00F93200" w:rsidP="00E12D2A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I.</w:t>
            </w: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Methode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ind w:left="426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metode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kurang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lengkap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jelas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dikemukakan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disin</w:t>
            </w:r>
            <w:proofErr w:type="spellEnd"/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ditambahkan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bag.II</w:t>
            </w:r>
            <w:proofErr w:type="spellEnd"/>
            <w:r>
              <w:rPr>
                <w:sz w:val="24"/>
              </w:rPr>
              <w:t xml:space="preserve"> &amp; III</w:t>
            </w:r>
          </w:p>
        </w:tc>
        <w:tc>
          <w:tcPr>
            <w:tcW w:w="1559" w:type="dxa"/>
          </w:tcPr>
          <w:p w:rsidR="00F93200" w:rsidRPr="00F93200" w:rsidRDefault="00F93200" w:rsidP="00E12D2A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II &amp; III.</w:t>
            </w: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Pembahasan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ind w:left="426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Alangkah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baiknya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kalau</w:t>
            </w:r>
            <w:proofErr w:type="spellEnd"/>
            <w:r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lastRenderedPageBreak/>
              <w:t>ditambahkan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sehingga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pembaca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lebih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ngerti</w:t>
            </w:r>
            <w:proofErr w:type="spellEnd"/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Pembahasan</w:t>
            </w:r>
            <w:proofErr w:type="spellEnd"/>
            <w:r>
              <w:rPr>
                <w:sz w:val="24"/>
              </w:rPr>
              <w:t xml:space="preserve"> bag IV </w:t>
            </w: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ditambahkan</w:t>
            </w:r>
            <w:proofErr w:type="spellEnd"/>
          </w:p>
        </w:tc>
        <w:tc>
          <w:tcPr>
            <w:tcW w:w="1559" w:type="dxa"/>
          </w:tcPr>
          <w:p w:rsidR="00F93200" w:rsidRPr="00F93200" w:rsidRDefault="00F93200" w:rsidP="00E12D2A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lastRenderedPageBreak/>
              <w:t>Bagian IV</w:t>
            </w: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lastRenderedPageBreak/>
              <w:t>Berikan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Kesimpulan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ind w:left="426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Kesimpulannya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terlalu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sedikit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kurang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banyak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yg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diceritakan</w:t>
            </w:r>
            <w:proofErr w:type="spellEnd"/>
          </w:p>
        </w:tc>
        <w:tc>
          <w:tcPr>
            <w:tcW w:w="2835" w:type="dxa"/>
          </w:tcPr>
          <w:p w:rsidR="00F93200" w:rsidRDefault="00F93200" w:rsidP="00F93200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Kesimpulan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ditambah</w:t>
            </w:r>
            <w:proofErr w:type="spellEnd"/>
          </w:p>
        </w:tc>
        <w:tc>
          <w:tcPr>
            <w:tcW w:w="1559" w:type="dxa"/>
          </w:tcPr>
          <w:p w:rsidR="00F93200" w:rsidRPr="00F93200" w:rsidRDefault="00F93200" w:rsidP="00E12D2A">
            <w:pPr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Bagian V.</w:t>
            </w: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Tabel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Gambar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oke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cukup</w:t>
            </w:r>
            <w:proofErr w:type="spellEnd"/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Pr="00D42783" w:rsidRDefault="00F93200" w:rsidP="00E12D2A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</w:rPr>
            </w:pPr>
            <w:proofErr w:type="spellStart"/>
            <w:r w:rsidRPr="00D42783">
              <w:rPr>
                <w:rFonts w:ascii="Courier" w:hAnsi="Courier" w:cs="Courier"/>
                <w:sz w:val="24"/>
              </w:rPr>
              <w:t>Berikan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komentar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dan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saran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terhadap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Reference/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Daftar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Pustaka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>::</w:t>
            </w:r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  <w:tr w:rsidR="00F93200" w:rsidRPr="001118F0" w:rsidTr="00B67173">
        <w:tc>
          <w:tcPr>
            <w:tcW w:w="5211" w:type="dxa"/>
          </w:tcPr>
          <w:p w:rsidR="00F93200" w:rsidRDefault="00F93200" w:rsidP="00E12D2A">
            <w:proofErr w:type="spellStart"/>
            <w:r w:rsidRPr="00D42783">
              <w:rPr>
                <w:rFonts w:ascii="Courier" w:hAnsi="Courier" w:cs="Courier"/>
                <w:sz w:val="24"/>
              </w:rPr>
              <w:t>Referensi</w:t>
            </w:r>
            <w:proofErr w:type="spellEnd"/>
            <w:r w:rsidRPr="00D42783">
              <w:rPr>
                <w:rFonts w:ascii="Courier" w:hAnsi="Courier" w:cs="Courier"/>
                <w:sz w:val="24"/>
              </w:rPr>
              <w:t xml:space="preserve"> </w:t>
            </w:r>
            <w:proofErr w:type="spellStart"/>
            <w:r w:rsidRPr="00D42783">
              <w:rPr>
                <w:rFonts w:ascii="Courier" w:hAnsi="Courier" w:cs="Courier"/>
                <w:sz w:val="24"/>
              </w:rPr>
              <w:t>cukup</w:t>
            </w:r>
            <w:proofErr w:type="spellEnd"/>
          </w:p>
        </w:tc>
        <w:tc>
          <w:tcPr>
            <w:tcW w:w="2835" w:type="dxa"/>
          </w:tcPr>
          <w:p w:rsidR="00F93200" w:rsidRDefault="00F93200" w:rsidP="00E12D2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93200" w:rsidRPr="001118F0" w:rsidRDefault="00F93200" w:rsidP="00E12D2A">
            <w:pPr>
              <w:rPr>
                <w:sz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  <w:bookmarkStart w:id="0" w:name="_GoBack"/>
      <w:bookmarkEnd w:id="0"/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CB" w:rsidRDefault="00550FCB" w:rsidP="00155631">
      <w:r>
        <w:separator/>
      </w:r>
    </w:p>
  </w:endnote>
  <w:endnote w:type="continuationSeparator" w:id="0">
    <w:p w:rsidR="00550FCB" w:rsidRDefault="00550FCB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CB" w:rsidRDefault="00550FCB" w:rsidP="00155631">
      <w:r>
        <w:separator/>
      </w:r>
    </w:p>
  </w:footnote>
  <w:footnote w:type="continuationSeparator" w:id="0">
    <w:p w:rsidR="00550FCB" w:rsidRDefault="00550FCB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91"/>
    <w:rsid w:val="00007AA1"/>
    <w:rsid w:val="00034DBB"/>
    <w:rsid w:val="00155631"/>
    <w:rsid w:val="00164861"/>
    <w:rsid w:val="002853C3"/>
    <w:rsid w:val="004103D0"/>
    <w:rsid w:val="00485F16"/>
    <w:rsid w:val="00550FCB"/>
    <w:rsid w:val="007A78F0"/>
    <w:rsid w:val="007E1A15"/>
    <w:rsid w:val="00AD33D4"/>
    <w:rsid w:val="00B06B4D"/>
    <w:rsid w:val="00B67173"/>
    <w:rsid w:val="00BB12A4"/>
    <w:rsid w:val="00BB69CA"/>
    <w:rsid w:val="00C41A81"/>
    <w:rsid w:val="00CC65D0"/>
    <w:rsid w:val="00F02491"/>
    <w:rsid w:val="00F362A6"/>
    <w:rsid w:val="00F9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hp</cp:lastModifiedBy>
  <cp:revision>4</cp:revision>
  <dcterms:created xsi:type="dcterms:W3CDTF">2017-07-12T05:33:00Z</dcterms:created>
  <dcterms:modified xsi:type="dcterms:W3CDTF">2017-07-12T05:46:00Z</dcterms:modified>
</cp:coreProperties>
</file>